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rFonts w:ascii="Calibri" w:hAnsi="Calibri"/>
          <w:color w:val="auto"/>
          <w:sz w:val="22"/>
          <w:szCs w:val="22"/>
        </w:rPr>
      </w:pPr>
      <w:r>
        <w:rPr>
          <w:rFonts w:ascii="Calibri" w:hAnsi="Calibri"/>
          <w:color w:val="auto"/>
          <w:sz w:val="22"/>
          <w:szCs w:val="22"/>
        </w:rPr>
      </w:r>
    </w:p>
    <w:p>
      <w:pPr>
        <w:pStyle w:val="Normal"/>
        <w:bidi w:val="0"/>
        <w:spacing w:lineRule="auto" w:line="240"/>
        <w:jc w:val="center"/>
        <w:rPr>
          <w:color w:val="auto"/>
        </w:rPr>
      </w:pPr>
      <w:r>
        <w:rPr>
          <w:rFonts w:ascii="Calibri" w:hAnsi="Calibri"/>
          <w:b/>
          <w:color w:val="auto"/>
          <w:sz w:val="22"/>
          <w:szCs w:val="22"/>
          <w:lang w:val="ru-RU"/>
        </w:rPr>
        <w:t>ПРАВИТЕЛЬСТВО УЛЬЯНОВСКОЙ ОБЛАСТИ</w:t>
      </w:r>
    </w:p>
    <w:p>
      <w:pPr>
        <w:pStyle w:val="Normal"/>
        <w:bidi w:val="0"/>
        <w:spacing w:lineRule="auto" w:line="240"/>
        <w:jc w:val="center"/>
        <w:rPr>
          <w:rFonts w:ascii="Calibri" w:hAnsi="Calibri"/>
          <w:b/>
          <w:b/>
          <w:color w:val="auto"/>
          <w:sz w:val="22"/>
          <w:szCs w:val="22"/>
          <w:lang w:val="ru-RU"/>
        </w:rPr>
      </w:pPr>
      <w:r>
        <w:rPr>
          <w:rFonts w:ascii="Calibri" w:hAnsi="Calibri"/>
          <w:b/>
          <w:color w:val="auto"/>
          <w:sz w:val="22"/>
          <w:szCs w:val="22"/>
          <w:lang w:val="ru-RU"/>
        </w:rPr>
      </w:r>
    </w:p>
    <w:p>
      <w:pPr>
        <w:pStyle w:val="Normal"/>
        <w:bidi w:val="0"/>
        <w:spacing w:lineRule="auto" w:line="240"/>
        <w:jc w:val="center"/>
        <w:rPr>
          <w:color w:val="auto"/>
        </w:rPr>
      </w:pPr>
      <w:r>
        <w:rPr>
          <w:rFonts w:ascii="Calibri" w:hAnsi="Calibri"/>
          <w:b/>
          <w:color w:val="auto"/>
          <w:sz w:val="22"/>
          <w:szCs w:val="22"/>
          <w:lang w:val="ru-RU"/>
        </w:rPr>
        <w:t>ПОСТАНОВЛЕНИЕ</w:t>
      </w:r>
    </w:p>
    <w:p>
      <w:pPr>
        <w:pStyle w:val="Normal"/>
        <w:bidi w:val="0"/>
        <w:spacing w:lineRule="auto" w:line="240"/>
        <w:jc w:val="center"/>
        <w:rPr>
          <w:color w:val="auto"/>
        </w:rPr>
      </w:pPr>
      <w:r>
        <w:rPr>
          <w:rFonts w:ascii="Calibri" w:hAnsi="Calibri"/>
          <w:b/>
          <w:color w:val="auto"/>
          <w:sz w:val="22"/>
          <w:szCs w:val="22"/>
          <w:lang w:val="ru-RU"/>
        </w:rPr>
        <w:t>от 26 июня 2014 г. N 256-П</w:t>
      </w:r>
    </w:p>
    <w:p>
      <w:pPr>
        <w:pStyle w:val="Normal"/>
        <w:bidi w:val="0"/>
        <w:spacing w:lineRule="auto" w:line="240"/>
        <w:jc w:val="center"/>
        <w:rPr>
          <w:rFonts w:ascii="Calibri" w:hAnsi="Calibri"/>
          <w:b/>
          <w:b/>
          <w:color w:val="auto"/>
          <w:sz w:val="22"/>
          <w:szCs w:val="22"/>
          <w:lang w:val="ru-RU"/>
        </w:rPr>
      </w:pPr>
      <w:r>
        <w:rPr>
          <w:rFonts w:ascii="Calibri" w:hAnsi="Calibri"/>
          <w:b/>
          <w:color w:val="auto"/>
          <w:sz w:val="22"/>
          <w:szCs w:val="22"/>
          <w:lang w:val="ru-RU"/>
        </w:rPr>
      </w:r>
    </w:p>
    <w:p>
      <w:pPr>
        <w:pStyle w:val="Normal"/>
        <w:bidi w:val="0"/>
        <w:spacing w:lineRule="auto" w:line="240"/>
        <w:jc w:val="center"/>
        <w:rPr>
          <w:color w:val="auto"/>
        </w:rPr>
      </w:pPr>
      <w:r>
        <w:rPr>
          <w:rFonts w:ascii="Calibri" w:hAnsi="Calibri"/>
          <w:b/>
          <w:color w:val="auto"/>
          <w:sz w:val="22"/>
          <w:szCs w:val="22"/>
          <w:lang w:val="ru-RU"/>
        </w:rPr>
        <w:t>О ПРАВИЛАХ ПРЕДОСТАВЛЕНИЯ СЕЛЬСКОХОЗЯЙСТВЕННЫМ</w:t>
      </w:r>
    </w:p>
    <w:p>
      <w:pPr>
        <w:pStyle w:val="Normal"/>
        <w:bidi w:val="0"/>
        <w:spacing w:lineRule="auto" w:line="240"/>
        <w:jc w:val="center"/>
        <w:rPr>
          <w:color w:val="auto"/>
        </w:rPr>
      </w:pPr>
      <w:r>
        <w:rPr>
          <w:rFonts w:ascii="Calibri" w:hAnsi="Calibri"/>
          <w:b/>
          <w:color w:val="auto"/>
          <w:sz w:val="22"/>
          <w:szCs w:val="22"/>
          <w:lang w:val="ru-RU"/>
        </w:rPr>
        <w:t>ТОВАРОПРОИЗВОДИТЕЛЯМ СУБСИДИЙ ИЗ ОБЛАСТНОГО БЮДЖЕТА</w:t>
      </w:r>
    </w:p>
    <w:p>
      <w:pPr>
        <w:pStyle w:val="Normal"/>
        <w:bidi w:val="0"/>
        <w:spacing w:lineRule="auto" w:line="240"/>
        <w:jc w:val="center"/>
        <w:rPr>
          <w:color w:val="auto"/>
        </w:rPr>
      </w:pPr>
      <w:r>
        <w:rPr>
          <w:rFonts w:ascii="Calibri" w:hAnsi="Calibri"/>
          <w:b/>
          <w:color w:val="auto"/>
          <w:sz w:val="22"/>
          <w:szCs w:val="22"/>
          <w:lang w:val="ru-RU"/>
        </w:rPr>
        <w:t>УЛЬЯНОВСКОЙ ОБЛАСТИ В ЦЕЛЯХ ВОЗМЕЩЕНИЯ ЧАСТИ</w:t>
      </w:r>
    </w:p>
    <w:p>
      <w:pPr>
        <w:pStyle w:val="Normal"/>
        <w:bidi w:val="0"/>
        <w:spacing w:lineRule="auto" w:line="240"/>
        <w:jc w:val="center"/>
        <w:rPr>
          <w:color w:val="auto"/>
        </w:rPr>
      </w:pPr>
      <w:r>
        <w:rPr>
          <w:rFonts w:ascii="Calibri" w:hAnsi="Calibri"/>
          <w:b/>
          <w:color w:val="auto"/>
          <w:sz w:val="22"/>
          <w:szCs w:val="22"/>
          <w:lang w:val="ru-RU"/>
        </w:rPr>
        <w:t>ИХ ЗАТРАТ, СВЯЗАННЫХ С ПРОВЕДЕНИЕМ МЕРОПРИЯТИЙ,</w:t>
      </w:r>
    </w:p>
    <w:p>
      <w:pPr>
        <w:pStyle w:val="Normal"/>
        <w:bidi w:val="0"/>
        <w:spacing w:lineRule="auto" w:line="240"/>
        <w:jc w:val="center"/>
        <w:rPr>
          <w:color w:val="auto"/>
        </w:rPr>
      </w:pPr>
      <w:r>
        <w:rPr>
          <w:rFonts w:ascii="Calibri" w:hAnsi="Calibri"/>
          <w:b/>
          <w:color w:val="auto"/>
          <w:sz w:val="22"/>
          <w:szCs w:val="22"/>
          <w:lang w:val="ru-RU"/>
        </w:rPr>
        <w:t>НАПРАВЛЕННЫХ НА РАЗВИТИЕ МЕЛИОРАЦИИ ЗЕМЕЛЬ</w:t>
      </w:r>
    </w:p>
    <w:p>
      <w:pPr>
        <w:pStyle w:val="Normal"/>
        <w:bidi w:val="0"/>
        <w:spacing w:lineRule="auto" w:line="240"/>
        <w:jc w:val="center"/>
        <w:rPr>
          <w:color w:val="auto"/>
        </w:rPr>
      </w:pPr>
      <w:r>
        <w:rPr>
          <w:rFonts w:ascii="Calibri" w:hAnsi="Calibri"/>
          <w:b/>
          <w:color w:val="auto"/>
          <w:sz w:val="22"/>
          <w:szCs w:val="22"/>
          <w:lang w:val="ru-RU"/>
        </w:rPr>
        <w:t>СЕЛЬСКОХОЗЯЙСТВЕННОГО НАЗНАЧЕНИЯ</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tbl>
      <w:tblPr>
        <w:tblW w:w="9295" w:type="dxa"/>
        <w:jc w:val="left"/>
        <w:tblInd w:w="0" w:type="dxa"/>
        <w:tblCellMar>
          <w:top w:w="0" w:type="dxa"/>
          <w:left w:w="30" w:type="dxa"/>
          <w:bottom w:w="0" w:type="dxa"/>
          <w:right w:w="30" w:type="dxa"/>
        </w:tblCellMar>
      </w:tblPr>
      <w:tblGrid>
        <w:gridCol w:w="9295"/>
      </w:tblGrid>
      <w:tr>
        <w:trPr/>
        <w:tc>
          <w:tcPr>
            <w:tcW w:w="9295" w:type="dxa"/>
            <w:tcBorders>
              <w:left w:val="single" w:sz="24" w:space="0" w:color="000000"/>
              <w:right w:val="single" w:sz="24" w:space="0" w:color="000000"/>
            </w:tcBorders>
          </w:tcPr>
          <w:p>
            <w:pPr>
              <w:pStyle w:val="Normal"/>
              <w:tabs>
                <w:tab w:val="clear" w:pos="720"/>
              </w:tabs>
              <w:bidi w:val="0"/>
              <w:spacing w:lineRule="auto" w:line="240"/>
              <w:jc w:val="center"/>
              <w:rPr>
                <w:color w:val="auto"/>
              </w:rPr>
            </w:pPr>
            <w:r>
              <w:rPr>
                <w:rFonts w:ascii="Calibri" w:hAnsi="Calibri"/>
                <w:b w:val="false"/>
                <w:color w:val="auto"/>
                <w:sz w:val="22"/>
                <w:szCs w:val="22"/>
                <w:lang w:val="ru-RU"/>
              </w:rPr>
              <w:t>Список изменяющих документов</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(в ред. постановлений Правительства Ульяновской области</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20.11.2014 , от 05.06.2015 , от 11.11.2015 ,</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24.12.2015 , от 28.02.2017 , от 30.01.2018 ,</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30.05.2018 , от 24.08.2018 , от 31.05.2019 ,</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16.09.2019 , от 23.12.2019 , от 03.12.2020 ,</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19.04.2021 )</w:t>
            </w:r>
          </w:p>
        </w:tc>
      </w:tr>
    </w:tbl>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ind w:left="-540" w:firstLine="540"/>
        <w:jc w:val="left"/>
        <w:rPr>
          <w:color w:val="auto"/>
        </w:rPr>
      </w:pPr>
      <w:r>
        <w:rPr>
          <w:rFonts w:ascii="Calibri" w:hAnsi="Calibri"/>
          <w:b w:val="false"/>
          <w:color w:val="auto"/>
          <w:sz w:val="22"/>
          <w:szCs w:val="22"/>
          <w:lang w:val="ru-RU"/>
        </w:rPr>
        <w:t>В соответствии со  Бюджетного кодекса Российской Федерации, в целях реализации регионального проекта "Экспорт продукции агропромышленного комплекса Ульяновской области" и в соответствии с государственной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pPr>
        <w:pStyle w:val="Normal"/>
        <w:bidi w:val="0"/>
        <w:spacing w:lineRule="auto" w:line="240"/>
        <w:jc w:val="left"/>
        <w:rPr>
          <w:color w:val="auto"/>
        </w:rPr>
      </w:pPr>
      <w:r>
        <w:rPr>
          <w:rFonts w:ascii="Calibri" w:hAnsi="Calibri"/>
          <w:b w:val="false"/>
          <w:color w:val="auto"/>
          <w:sz w:val="22"/>
          <w:szCs w:val="22"/>
          <w:lang w:val="ru-RU"/>
        </w:rPr>
        <w:t>(преамбула в ред.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Утвердить прилагаемые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30.01.2018 , от 24.08.2018 , от 31.05.2019 )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Финансовое обеспечение расходных обязательств, связанных с реализацией настоящего постановления, осуществлять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настоящего постановления.</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30.01.2018 , от 24.08.2018 )</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right"/>
        <w:rPr>
          <w:color w:val="auto"/>
        </w:rPr>
      </w:pPr>
      <w:r>
        <w:rPr>
          <w:rFonts w:ascii="Calibri" w:hAnsi="Calibri"/>
          <w:b w:val="false"/>
          <w:color w:val="auto"/>
          <w:sz w:val="22"/>
          <w:szCs w:val="22"/>
          <w:lang w:val="ru-RU"/>
        </w:rPr>
        <w:t>Губернатор - Председатель</w:t>
      </w:r>
    </w:p>
    <w:p>
      <w:pPr>
        <w:pStyle w:val="Normal"/>
        <w:bidi w:val="0"/>
        <w:spacing w:lineRule="auto" w:line="240"/>
        <w:jc w:val="right"/>
        <w:rPr>
          <w:color w:val="auto"/>
        </w:rPr>
      </w:pPr>
      <w:r>
        <w:rPr>
          <w:rFonts w:ascii="Calibri" w:hAnsi="Calibri"/>
          <w:b w:val="false"/>
          <w:color w:val="auto"/>
          <w:sz w:val="22"/>
          <w:szCs w:val="22"/>
          <w:lang w:val="ru-RU"/>
        </w:rPr>
        <w:t>Правительства</w:t>
      </w:r>
    </w:p>
    <w:p>
      <w:pPr>
        <w:pStyle w:val="Normal"/>
        <w:bidi w:val="0"/>
        <w:spacing w:lineRule="auto" w:line="240"/>
        <w:jc w:val="right"/>
        <w:rPr>
          <w:color w:val="auto"/>
        </w:rPr>
      </w:pPr>
      <w:r>
        <w:rPr>
          <w:rFonts w:ascii="Calibri" w:hAnsi="Calibri"/>
          <w:b w:val="false"/>
          <w:color w:val="auto"/>
          <w:sz w:val="22"/>
          <w:szCs w:val="22"/>
          <w:lang w:val="ru-RU"/>
        </w:rPr>
        <w:t>Ульяновской области</w:t>
      </w:r>
    </w:p>
    <w:p>
      <w:pPr>
        <w:pStyle w:val="Normal"/>
        <w:bidi w:val="0"/>
        <w:spacing w:lineRule="auto" w:line="240"/>
        <w:jc w:val="right"/>
        <w:rPr>
          <w:color w:val="auto"/>
        </w:rPr>
      </w:pPr>
      <w:r>
        <w:rPr>
          <w:rFonts w:ascii="Calibri" w:hAnsi="Calibri"/>
          <w:b w:val="false"/>
          <w:color w:val="auto"/>
          <w:sz w:val="22"/>
          <w:szCs w:val="22"/>
          <w:lang w:val="ru-RU"/>
        </w:rPr>
        <w:t>С.И.МОРОЗОВ</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right"/>
        <w:rPr>
          <w:color w:val="auto"/>
        </w:rPr>
      </w:pPr>
      <w:r>
        <w:rPr>
          <w:rFonts w:ascii="Calibri" w:hAnsi="Calibri"/>
          <w:b w:val="false"/>
          <w:color w:val="auto"/>
          <w:sz w:val="22"/>
          <w:szCs w:val="22"/>
          <w:lang w:val="ru-RU"/>
        </w:rPr>
        <w:t>Утверждены</w:t>
      </w:r>
    </w:p>
    <w:p>
      <w:pPr>
        <w:pStyle w:val="Normal"/>
        <w:bidi w:val="0"/>
        <w:spacing w:lineRule="auto" w:line="240"/>
        <w:jc w:val="right"/>
        <w:rPr>
          <w:color w:val="auto"/>
        </w:rPr>
      </w:pPr>
      <w:r>
        <w:rPr>
          <w:rFonts w:ascii="Calibri" w:hAnsi="Calibri"/>
          <w:b w:val="false"/>
          <w:color w:val="auto"/>
          <w:sz w:val="22"/>
          <w:szCs w:val="22"/>
          <w:lang w:val="ru-RU"/>
        </w:rPr>
        <w:t>постановлением</w:t>
      </w:r>
    </w:p>
    <w:p>
      <w:pPr>
        <w:pStyle w:val="Normal"/>
        <w:bidi w:val="0"/>
        <w:spacing w:lineRule="auto" w:line="240"/>
        <w:jc w:val="right"/>
        <w:rPr>
          <w:color w:val="auto"/>
        </w:rPr>
      </w:pPr>
      <w:r>
        <w:rPr>
          <w:rFonts w:ascii="Calibri" w:hAnsi="Calibri"/>
          <w:b w:val="false"/>
          <w:color w:val="auto"/>
          <w:sz w:val="22"/>
          <w:szCs w:val="22"/>
          <w:lang w:val="ru-RU"/>
        </w:rPr>
        <w:t>Правительства Ульяновской области</w:t>
      </w:r>
    </w:p>
    <w:p>
      <w:pPr>
        <w:pStyle w:val="Normal"/>
        <w:bidi w:val="0"/>
        <w:spacing w:lineRule="auto" w:line="240"/>
        <w:jc w:val="right"/>
        <w:rPr>
          <w:color w:val="auto"/>
        </w:rPr>
      </w:pPr>
      <w:r>
        <w:rPr>
          <w:rFonts w:ascii="Calibri" w:hAnsi="Calibri"/>
          <w:b w:val="false"/>
          <w:color w:val="auto"/>
          <w:sz w:val="22"/>
          <w:szCs w:val="22"/>
          <w:lang w:val="ru-RU"/>
        </w:rPr>
        <w:t>от 26 июня 2014 г. N 256-П</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center"/>
        <w:rPr>
          <w:color w:val="auto"/>
        </w:rPr>
      </w:pPr>
      <w:r>
        <w:rPr>
          <w:rFonts w:ascii="Calibri" w:hAnsi="Calibri"/>
          <w:b/>
          <w:color w:val="auto"/>
          <w:sz w:val="22"/>
          <w:szCs w:val="22"/>
          <w:lang w:val="ru-RU"/>
        </w:rPr>
        <w:t>ПРАВИЛА</w:t>
      </w:r>
    </w:p>
    <w:p>
      <w:pPr>
        <w:pStyle w:val="Normal"/>
        <w:bidi w:val="0"/>
        <w:spacing w:lineRule="auto" w:line="240"/>
        <w:jc w:val="center"/>
        <w:rPr>
          <w:color w:val="auto"/>
        </w:rPr>
      </w:pPr>
      <w:r>
        <w:rPr>
          <w:rFonts w:ascii="Calibri" w:hAnsi="Calibri"/>
          <w:b/>
          <w:color w:val="auto"/>
          <w:sz w:val="22"/>
          <w:szCs w:val="22"/>
          <w:lang w:val="ru-RU"/>
        </w:rPr>
        <w:t>ПРЕДОСТАВЛЕНИЯ СЕЛЬСКОХОЗЯЙСТВЕННЫМ ТОВАРОПРОИЗВОДИТЕЛЯМ</w:t>
      </w:r>
    </w:p>
    <w:p>
      <w:pPr>
        <w:pStyle w:val="Normal"/>
        <w:bidi w:val="0"/>
        <w:spacing w:lineRule="auto" w:line="240"/>
        <w:jc w:val="center"/>
        <w:rPr>
          <w:color w:val="auto"/>
        </w:rPr>
      </w:pPr>
      <w:r>
        <w:rPr>
          <w:rFonts w:ascii="Calibri" w:hAnsi="Calibri"/>
          <w:b/>
          <w:color w:val="auto"/>
          <w:sz w:val="22"/>
          <w:szCs w:val="22"/>
          <w:lang w:val="ru-RU"/>
        </w:rPr>
        <w:t>СУБСИДИЙ ИЗ ОБЛАСТНОГО БЮДЖЕТА УЛЬЯНОВСКОЙ ОБЛАСТИ В ЦЕЛЯХ</w:t>
      </w:r>
    </w:p>
    <w:p>
      <w:pPr>
        <w:pStyle w:val="Normal"/>
        <w:bidi w:val="0"/>
        <w:spacing w:lineRule="auto" w:line="240"/>
        <w:jc w:val="center"/>
        <w:rPr>
          <w:color w:val="auto"/>
        </w:rPr>
      </w:pPr>
      <w:r>
        <w:rPr>
          <w:rFonts w:ascii="Calibri" w:hAnsi="Calibri"/>
          <w:b/>
          <w:color w:val="auto"/>
          <w:sz w:val="22"/>
          <w:szCs w:val="22"/>
          <w:lang w:val="ru-RU"/>
        </w:rPr>
        <w:t>ВОЗМЕЩЕНИЯ ЧАСТИ ИХ ЗАТРАТ, СВЯЗАННЫХ С ПРОВЕДЕНИЕМ</w:t>
      </w:r>
    </w:p>
    <w:p>
      <w:pPr>
        <w:pStyle w:val="Normal"/>
        <w:bidi w:val="0"/>
        <w:spacing w:lineRule="auto" w:line="240"/>
        <w:jc w:val="center"/>
        <w:rPr>
          <w:color w:val="auto"/>
        </w:rPr>
      </w:pPr>
      <w:r>
        <w:rPr>
          <w:rFonts w:ascii="Calibri" w:hAnsi="Calibri"/>
          <w:b/>
          <w:color w:val="auto"/>
          <w:sz w:val="22"/>
          <w:szCs w:val="22"/>
          <w:lang w:val="ru-RU"/>
        </w:rPr>
        <w:t>МЕРОПРИЯТИЙ, НАПРАВЛЕННЫХ НА РАЗВИТИЕ МЕЛИОРАЦИИ ЗЕМЕЛЬ</w:t>
      </w:r>
    </w:p>
    <w:p>
      <w:pPr>
        <w:pStyle w:val="Normal"/>
        <w:bidi w:val="0"/>
        <w:spacing w:lineRule="auto" w:line="240"/>
        <w:jc w:val="center"/>
        <w:rPr>
          <w:color w:val="auto"/>
        </w:rPr>
      </w:pPr>
      <w:r>
        <w:rPr>
          <w:rFonts w:ascii="Calibri" w:hAnsi="Calibri"/>
          <w:b/>
          <w:color w:val="auto"/>
          <w:sz w:val="22"/>
          <w:szCs w:val="22"/>
          <w:lang w:val="ru-RU"/>
        </w:rPr>
        <w:t>СЕЛЬСКОХОЗЯЙСТВЕННОГО НАЗНАЧЕНИЯ</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tbl>
      <w:tblPr>
        <w:tblW w:w="9295" w:type="dxa"/>
        <w:jc w:val="left"/>
        <w:tblInd w:w="0" w:type="dxa"/>
        <w:tblCellMar>
          <w:top w:w="0" w:type="dxa"/>
          <w:left w:w="30" w:type="dxa"/>
          <w:bottom w:w="0" w:type="dxa"/>
          <w:right w:w="30" w:type="dxa"/>
        </w:tblCellMar>
      </w:tblPr>
      <w:tblGrid>
        <w:gridCol w:w="9295"/>
      </w:tblGrid>
      <w:tr>
        <w:trPr/>
        <w:tc>
          <w:tcPr>
            <w:tcW w:w="9295" w:type="dxa"/>
            <w:tcBorders>
              <w:left w:val="single" w:sz="24" w:space="0" w:color="000000"/>
              <w:right w:val="single" w:sz="24" w:space="0" w:color="000000"/>
            </w:tcBorders>
          </w:tcPr>
          <w:p>
            <w:pPr>
              <w:pStyle w:val="Normal"/>
              <w:tabs>
                <w:tab w:val="clear" w:pos="720"/>
              </w:tabs>
              <w:bidi w:val="0"/>
              <w:spacing w:lineRule="auto" w:line="240"/>
              <w:jc w:val="center"/>
              <w:rPr>
                <w:color w:val="auto"/>
              </w:rPr>
            </w:pPr>
            <w:r>
              <w:rPr>
                <w:rFonts w:ascii="Calibri" w:hAnsi="Calibri"/>
                <w:b w:val="false"/>
                <w:color w:val="auto"/>
                <w:sz w:val="22"/>
                <w:szCs w:val="22"/>
                <w:lang w:val="ru-RU"/>
              </w:rPr>
              <w:t>Список изменяющих документов</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(в ред. постановлений Правительства Ульяновской области</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31.05.2019 , от 16.09.2019 , от 23.12.2019 ,</w:t>
            </w:r>
          </w:p>
          <w:p>
            <w:pPr>
              <w:pStyle w:val="Normal"/>
              <w:tabs>
                <w:tab w:val="clear" w:pos="720"/>
              </w:tabs>
              <w:bidi w:val="0"/>
              <w:spacing w:lineRule="auto" w:line="240"/>
              <w:jc w:val="center"/>
              <w:rPr>
                <w:color w:val="auto"/>
              </w:rPr>
            </w:pPr>
            <w:r>
              <w:rPr>
                <w:rFonts w:ascii="Calibri" w:hAnsi="Calibri"/>
                <w:b w:val="false"/>
                <w:color w:val="auto"/>
                <w:sz w:val="22"/>
                <w:szCs w:val="22"/>
                <w:lang w:val="ru-RU"/>
              </w:rPr>
              <w:t>от 03.12.2020 , от 19.04.2021 )</w:t>
            </w:r>
          </w:p>
        </w:tc>
      </w:tr>
    </w:tbl>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ind w:left="-540" w:firstLine="540"/>
        <w:jc w:val="left"/>
        <w:rPr>
          <w:color w:val="auto"/>
        </w:rPr>
      </w:pPr>
      <w:r>
        <w:rPr>
          <w:rFonts w:ascii="Calibri" w:hAnsi="Calibri"/>
          <w:b w:val="false"/>
          <w:color w:val="auto"/>
          <w:sz w:val="22"/>
          <w:szCs w:val="22"/>
          <w:lang w:val="ru-RU"/>
        </w:rPr>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и государственных и муниципальных учреждений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назначения (далее - субсидии).</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Субсидии предоставляются до окончания текущего финансового года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2.1. 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на плановый период (проекта закона о внесении изменений в закон Ульяновской области об областном бюджете Ульяновской области на соответствующий финансовый год и на плановый период).</w:t>
      </w:r>
    </w:p>
    <w:p>
      <w:pPr>
        <w:pStyle w:val="Normal"/>
        <w:bidi w:val="0"/>
        <w:spacing w:lineRule="auto" w:line="240"/>
        <w:jc w:val="left"/>
        <w:rPr>
          <w:color w:val="auto"/>
        </w:rPr>
      </w:pPr>
      <w:r>
        <w:rPr>
          <w:rFonts w:ascii="Calibri" w:hAnsi="Calibri"/>
          <w:b w:val="false"/>
          <w:color w:val="auto"/>
          <w:sz w:val="22"/>
          <w:szCs w:val="22"/>
          <w:lang w:val="ru-RU"/>
        </w:rPr>
        <w:t>(пп. 2.1 введен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следующих мероприятий: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гидромелиоративные мероприятия, проводимые в том числе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собственности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(далее - мелиоративные системы, гидротехнические сооружения соответственно), за исключением затрат, связанных с выполнением проектных и изыскательских работ и (или) подготовкой проектной документации в отношении указанных объектов. При этом для целей настоящих Правил используются следующие термины:</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23.12.2019 , от 03.12.2020 )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техническое перевооружение мелиоративных систем - приобретение машин и оборудования, включая монтаж оборудования. Перечень указанных машин и оборудования утверждается правовым актом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техническое перевооружение гидротехнических сооружений - приобретение и монтаж оборудования, перечень которого утверждается правовым актом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культуртехнические мероприятия на выбывших сельскохозяйственных угодьях, вовлекаемых в сельскохозяйственный оборот, в том числе: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расчистка земель от древесной и травянистой растительности, кочек, пней и мха, а также от камней и иных предметов;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рыхление, пескование, глинование, землевание, плантаж и первичная обработка почвы;</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агролесомелиоративные мероприятия, в том числе: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предотвращение деградации земель пастбищ путем создания защитных лесных насаждений;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защита земель от эрозии путем создания лесных насаждений на оврагах, балках, песках, берегах рек и на других территориях;</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фитомелиоративные мероприятия, направленные на закрепление песков;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5) мероприятия в области известкования кислых почв на пашне (далее - мероприятия в области известкования кислых почв), в том числе: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разработка проектной документации на проведение мероприятий в области известкования кислых почв на пашне на основании данных почвенного обследования полей;</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приобретение мелиорантов почвы известковых,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 для выполнения технологических работ по внесению в почву известковых мелиорантов;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осуществление транспортных расходов по доставке известковых мелиорантов от места их приобретения до места выполнения технологических работ по внесению в почву известковых мелиорантов;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выполнение технологических работ по внесению в почву известковых мелиорантов.</w:t>
      </w:r>
    </w:p>
    <w:p>
      <w:pPr>
        <w:pStyle w:val="Normal"/>
        <w:bidi w:val="0"/>
        <w:spacing w:lineRule="auto" w:line="240"/>
        <w:jc w:val="left"/>
        <w:rPr>
          <w:color w:val="auto"/>
        </w:rPr>
      </w:pPr>
      <w:r>
        <w:rPr>
          <w:rFonts w:ascii="Calibri" w:hAnsi="Calibri"/>
          <w:b w:val="false"/>
          <w:color w:val="auto"/>
          <w:sz w:val="22"/>
          <w:szCs w:val="22"/>
          <w:lang w:val="ru-RU"/>
        </w:rPr>
        <w:t>(пп. 5 введен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3.1. Для сельскохозяйственных товаропроизводителей, использующих на дату осуществления соответствующих затрат, перечисленных в  настоящих Правил,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с учетом суммы налога на добавленную стоимость.</w:t>
      </w:r>
    </w:p>
    <w:p>
      <w:pPr>
        <w:pStyle w:val="Normal"/>
        <w:bidi w:val="0"/>
        <w:spacing w:lineRule="auto" w:line="240"/>
        <w:jc w:val="left"/>
        <w:rPr>
          <w:color w:val="auto"/>
        </w:rPr>
      </w:pPr>
      <w:r>
        <w:rPr>
          <w:rFonts w:ascii="Calibri" w:hAnsi="Calibri"/>
          <w:b w:val="false"/>
          <w:color w:val="auto"/>
          <w:sz w:val="22"/>
          <w:szCs w:val="22"/>
          <w:lang w:val="ru-RU"/>
        </w:rPr>
        <w:t>(п. 3.1 введен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Субсидии предоставляются сельскохозяйственным товаропроизводителям в текущем финансовом году в целях возмещения части затрат, указанных в  -  настоящих Правил, произведенных ими в текущем финансовом году и (или) предыдущем финансовом году, и в целях возмещения части затрат, указанных в  настоящих Правил, произведенных ими в предыдущем финансовом году.</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Субсидии не предоставляются сельскохозяйственным товаропроизводителям в целях возмещения части их затрат, связанных с приобретением машин и оборудования, указанных в  настоящих Правил, бывших в эксплуатации, объектов незавершенного строительства, а также проведением капитального ремонта мелиоративных систем и отдельно расположенных гидротехнических сооружений.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5. Требования, которым должен соответствовать сельскохозяйственный товаропроизводитель на дату представления в Министерство документов, необходимых для получения субсидии, если иное не предусмотрено  настоящего пункта:</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выдачи налоговым органом по месту постановки сельскохозяйственного товаропроизводителя на учет в налоговом органе справки об исполнении такой обязанности, полученной не ранее 30 календарных дней до дня ее представления в Министерство;</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23.12.2019 , от 03.12.2020 )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(за исключением реорганизации в форме присоединения к сельскохозяйственному товаропроизводителю - юридическому лицу другого юридического лица)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pPr>
        <w:pStyle w:val="Normal"/>
        <w:bidi w:val="0"/>
        <w:spacing w:lineRule="auto" w:line="240"/>
        <w:jc w:val="left"/>
        <w:rPr>
          <w:color w:val="auto"/>
        </w:rPr>
      </w:pPr>
      <w:r>
        <w:rPr>
          <w:rFonts w:ascii="Calibri" w:hAnsi="Calibri"/>
          <w:b w:val="false"/>
          <w:color w:val="auto"/>
          <w:sz w:val="22"/>
          <w:szCs w:val="22"/>
          <w:lang w:val="ru-RU"/>
        </w:rPr>
        <w:t>(п. 3 в ред.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5)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 указанные в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6)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
    <w:p>
      <w:pPr>
        <w:pStyle w:val="Normal"/>
        <w:bidi w:val="0"/>
        <w:spacing w:lineRule="auto" w:line="240"/>
        <w:jc w:val="left"/>
        <w:rPr>
          <w:color w:val="auto"/>
        </w:rPr>
      </w:pPr>
      <w:r>
        <w:rPr>
          <w:rFonts w:ascii="Calibri" w:hAnsi="Calibri"/>
          <w:b w:val="false"/>
          <w:color w:val="auto"/>
          <w:sz w:val="22"/>
          <w:szCs w:val="22"/>
          <w:lang w:val="ru-RU"/>
        </w:rPr>
        <w:t>(пп. 6 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7)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8) сельскохозяйственный товаропроизводитель должен соответствовать требованиям, предусмотренным  Федерального закона от 29.12.2006 N 264-ФЗ "О развитии сельского хозяйства";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9)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10) при предоставлении субсидии сельскохозяйственному товаропроизводителю в целях возмещения части его затрат, связанных с проведением гидромелиоративных мероприятий, проводимых в том числе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 указанных в  настоящих Правил (далее также - гидромелиоративные мероприятия), сельскохозяйственный товаропроизводитель должен дополнительно соответствовать следующим требованиям:</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23.12.2019 , от 03.12.2020 )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выполнены работы по строительству, реконструкции и (или) техническому перевооружению мелиоративных систем и (или) гидротехнических сооружений;</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сельскохозяйственный товаропроизводитель должен подтвердить наличие у него права собственности на машины и оборудование, приобретенные для технического перевооружения мелиоративных систем и (или) гидротехнических сооружений;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сельскохозяйственный товаропроизводитель должен подтвердить состав и размер произведенных им затрат, связанных с проведением гидромелиоративных мероприятий, в соответствии со сметной документацией;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у сельскохозяйственного товаропроизводителя должно иметься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(данное требование установлено для сельскохозяйственного товаропроизводителя, претендующего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Normal"/>
        <w:bidi w:val="0"/>
        <w:spacing w:lineRule="auto" w:line="240"/>
        <w:jc w:val="left"/>
        <w:rPr>
          <w:color w:val="auto"/>
        </w:rPr>
      </w:pPr>
      <w:r>
        <w:rPr>
          <w:rFonts w:ascii="Calibri" w:hAnsi="Calibri"/>
          <w:b w:val="false"/>
          <w:color w:val="auto"/>
          <w:sz w:val="22"/>
          <w:szCs w:val="22"/>
          <w:lang w:val="ru-RU"/>
        </w:rPr>
        <w:t>(пп. "г" введен  Правительства Ульяновской области от 23.12.2019 N 743-П; 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11) при предоставлении субсидии сельскохозяйственному товаропроизводителю в целях возмещения части его затрат, связанных с проведением культуртехнических мероприятий на выбывших сельскохозяйственных угодьях, вовлекаемых в сельскохозяйственный оборот, указанных в  настоящих Правил (далее - культуртехнические мероприятия), сельскохозяйственный товаропроизводитель должен дополнительно соответствовать следующим требованиям: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культуртехнические мероприятия;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 содержащим виды и объем указанных работ;</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сельскохозяйственный товаропроизводитель должен подтвердить факт вовлечения земель в сельскохозяйственный оборот на основании документа, выданного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сельскохозяйственный товаропроизводитель должен подтвердить состав и размер произведенных им затрат, связанных с проведением культуртехнических мероприятий;</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12) при предоставлении субсидии сельскохозяйственному товаропроизводителю в целях возмещения части его затрат, связанных с проведением агролесомелиоративных мероприятий, указанных в  настоящих Правил (далее - агролесомелиоративные мероприятия), сельскохозяйственный товаропроизводитель должен дополнительно соответствовать следующим требованиям: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агролесомелиоративные мероприятия;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сельскохозяйственный товаропроизводитель должен осуществлять агролесомелиоративные мероприятия на землях сельскохозяйственного назначения в соответствии с проектом выполнения агролесомелиоративных работ, содержащим виды и объем указанных работ;</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сельскохозяйственный товаропроизводитель должен подтвердить состав и размер произведенных им затрат, связанных с проведением агролесомелиоративных мероприятий;</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13) при предоставлении субсидии сельскохозяйственному товаропроизводителю в целях возмещения части его затрат, связанных с проведением фитомелиоративных мероприятий, указанных в  настоящих Правил (далее - фитомелиоративные мероприятия), сельскохозяйственный товаропроизводитель должен дополнительно соответствовать следующим требованиям: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сельскохозяйственный товаропроизводитель должен подтвердить наличие у него права собственности, права постоянного (бессрочного) пользования или аренды (субаренды) на земельный участок сельскохозяйственного назначения, в границах которого проведены фитомелиоративные мероприятия;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 содержащим виды и объем указанных работ;</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сельскохозяйственный товаропроизводитель должен подтвердить состав и размер произведенных им затрат, связанных с проведением фитомелиоративных мероприятий;</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14) при предоставлении субсидии сельскохозяйственному товаропроизводителю в целях возмещения части его затрат, связанных с проведением мероприятий в области известкования кислых почв, сельскохозяйственный товаропроизводитель должен дополнительно соответствовать следующим требованиям: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сельскохозяйственный товаропроизводитель должен подтвердить наличие у него права на каждый земельный участок сельскохозяйственного назначения, расположенный на территории Ульяновской области, в границах которого выполнены технологические работы по внесению в почву известковых мелиорантов;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почвенное обследование земель сельскохозяйственного назначения, в границах которых выполнены технологические работы по внесению в почву известковых мелиорантов, должно быть проведено уполномоченным органом в области почвенного обследования земель сельскохозяйственного назначения,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 (далее - уполномоченный орган в области почвенного обследования) не более 5 лет назад;</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сельскохозяйственный товаропроизводитель должен выполнить технологические работы по внесению в почву известковых мелиорантов в соответствии с проектной документацией, разработанной уполномоченным органом в области почвенного обследования;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сельскохозяйственный товаропроизводитель должен подтвердить состав и размер затрат, связанных с реализацией мероприятий в области известкования кислых почв, произведенных им в предшествующем финансовом году.</w:t>
      </w:r>
    </w:p>
    <w:p>
      <w:pPr>
        <w:pStyle w:val="Normal"/>
        <w:bidi w:val="0"/>
        <w:spacing w:lineRule="auto" w:line="240"/>
        <w:jc w:val="left"/>
        <w:rPr>
          <w:color w:val="auto"/>
        </w:rPr>
      </w:pPr>
      <w:r>
        <w:rPr>
          <w:rFonts w:ascii="Calibri" w:hAnsi="Calibri"/>
          <w:b w:val="false"/>
          <w:color w:val="auto"/>
          <w:sz w:val="22"/>
          <w:szCs w:val="22"/>
          <w:lang w:val="ru-RU"/>
        </w:rPr>
        <w:t>(пп. 14 введен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6. Министерство своим правовым актом утверждает размеры ставок субсидий, необходимых для расчета размеров предоставляемых субсидий: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размер субсидии в целях возмещения части затрат, связанных с проведением гидромелиоративных мероприятий, определяется как произведение значения площади участка земли сельскохозяйственного назначения, на котором проводится гидромелиоративное мероприятие, и установленного размера ставки субсидии и не должен превышать 70 процентов фактических затрат сельскохозяйственного товаропроизводителя (без учета объема транспортных расходов);</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размер субсидии в целях возмещения части затрат, связанных с проведением культуртехнических мероприятий, определяется как произведение значения площади земель, вовлекаемых в сельскохозяйственный оборот, и установленного размера ставки субсидии и не должен превышать 70 процентов фактических затрат сельскохозяйственного товаропроизводителя;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размер субсидии в целях возмещения части затрат, связанных с проведением агролесомелиоративных и (или) фитомелиоративных мероприятий, определяется как произведение значения площади посадок лесных насаждений и (или) фитомелиорантов и установленного размера ставки субсидии и не должен превышать 90 процентов фактических затрат сельскохозяйственного товаропроизводителя (без учета объема транспортных расходов);</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размер субсидии в целях возмещения части затрат, связанных с реализацией мероприятий в области известкования кислых почв, определяется как произведение объема указанных затрат и установленного размера ставки субсидии и не должен превышать 90 процентов фактических затрат сельскохозяйственного товаропроизводителя.</w:t>
      </w:r>
    </w:p>
    <w:p>
      <w:pPr>
        <w:pStyle w:val="Normal"/>
        <w:bidi w:val="0"/>
        <w:spacing w:lineRule="auto" w:line="240"/>
        <w:jc w:val="left"/>
        <w:rPr>
          <w:color w:val="auto"/>
        </w:rPr>
      </w:pPr>
      <w:r>
        <w:rPr>
          <w:rFonts w:ascii="Calibri" w:hAnsi="Calibri"/>
          <w:b w:val="false"/>
          <w:color w:val="auto"/>
          <w:sz w:val="22"/>
          <w:szCs w:val="22"/>
          <w:lang w:val="ru-RU"/>
        </w:rPr>
        <w:t>(пп. 4 введен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заявление о предоставлении субсидии, составленное по форме, утвержденной правовым актом Министерства (далее - заявление);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справку-расчет размера субсидии, составленную по форме, утвержденной правовым актом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3.1)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
    <w:p>
      <w:pPr>
        <w:pStyle w:val="Normal"/>
        <w:bidi w:val="0"/>
        <w:spacing w:lineRule="auto" w:line="240"/>
        <w:jc w:val="left"/>
        <w:rPr>
          <w:color w:val="auto"/>
        </w:rPr>
      </w:pPr>
      <w:r>
        <w:rPr>
          <w:rFonts w:ascii="Calibri" w:hAnsi="Calibri"/>
          <w:b w:val="false"/>
          <w:color w:val="auto"/>
          <w:sz w:val="22"/>
          <w:szCs w:val="22"/>
          <w:lang w:val="ru-RU"/>
        </w:rPr>
        <w:t>(пп. 3.1 введен  Правительства Ульяновской области от 16.09.2019 N 465-П)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справку о соответствии заявителя требованиям, установленным  -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5)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6) для получения субсидии в целях возмещения части затрат, связанных с проведением гидромелиоративных мероприятий, заявитель дополнительно представляет следующие документы:</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обязательство по достижению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предусматривающее значение этого объема, составленное в произвольной форме и подписанное руководителем заявителя - юридического лица или заявителем - индивидуальным предпринимателем (представляется в случае, если заявитель претендует на получение субсидии в целях возмещения части его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Normal"/>
        <w:bidi w:val="0"/>
        <w:spacing w:lineRule="auto" w:line="240"/>
        <w:jc w:val="left"/>
        <w:rPr>
          <w:color w:val="auto"/>
        </w:rPr>
      </w:pPr>
      <w:r>
        <w:rPr>
          <w:rFonts w:ascii="Calibri" w:hAnsi="Calibri"/>
          <w:b w:val="false"/>
          <w:color w:val="auto"/>
          <w:sz w:val="22"/>
          <w:szCs w:val="22"/>
          <w:lang w:val="ru-RU"/>
        </w:rPr>
        <w:t>(пп. "б" введен  Правительства Ульяновской области от 23.12.2019 N 743-П; 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 в случае строительства и (или) реконструкции мелиоративных систем и (или) гидротехнических сооружений: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разрешения на строительство, заверенную заявителем (представляется в случае, если получение разрешения на строительство является обязательным);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положительного заключения государственной экспертизы проектной документации, включая результаты инженерных изысканий, выполняемых для подготовки такой проектной документации, выданного юридическим лицом, аккредитованным на право проведения 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государственной экспертизы является обязательным либо государственная экспертиза проведена по желанию заявителя);</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положительного заключения негосударственной экспертизы на проектную документацию, включая результаты инженерных изысканий,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 (представляются в случае, если проведение экспертизы является обязательным, но не установлено требование об обязательном проведении государственной экспертизы);</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сводной сметы на строительство и (или) реконструкцию мелиоративных систем и (или) гидротехнических сооружений, заверенную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положительного заключения экспертизы о проверке достоверности определения сметной стоимости строительства,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договора подряда, заключенного в текущем финансовом году или предыдущем финансовом году, включая долгосрочные договоры, заключенные на весь период реализации инвестиционного проекта, копию графика выполнения подрядных работ,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акта о приемке выполненных работ, составленного по форме N КС-2, и копию справки о стоимости выполненных работ и затрат, составленной по форме N КС-3,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акта о приемке оборудования в монтаж по итогам ввода в эксплуатацию, заверенную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копии платежных поручений, подтверждающих оплату выполненных подрядчиком работ, в том числе их предварительную оплату,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их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 в случае технического перевооружения мелиоративных систем и (или) гидротехнических сооружений: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приобретения машин для мелиоративных систем - копии договоров купли-продажи (поставки) машин для мелиоративных систем, копии счетов-фактур (если продавец является налогоплательщиком налога на добавленную стоимость) или копии товарных накладных, подтверждающих приобретение и поставку машин для мелиоративных систем, копии платежных поручений, подтверждающих оплату приобретенных машин, в том числе их предварительную оплату, копию инвентарной карточки основных средств, подтверждающей принятие приобретенных машин к бухгалтерскому учету,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приобретения и монтажа оборудования для мелиоративных систем и (или) гидротехнических сооружений: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договора подряда на выполнение работ по монтажу оборудования для мелиоративных систем и (или) гидротехнических сооружений, копию акта выполненных работ,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копию договора купли-продажи (поставки) оборудования для мелиоративных систем и (или) гидротехнических сооружений, копию счета-фактуры (если продавец является налогоплательщиком налога на добавленную стоимость) или копию товарной накладной, подтверждающих приобретение и поставку оборудования, копии платежных поручений, подтверждающих оплату приобретенного оборудования, в том числе его предварительную оплату, копию инвентарной карточки основных средств, подтверждающей принятие приобретенного оборудования к бухгалтерскому учету, заверенные заявителем (представляются в случае, если договор купли-продажи (поставки) заключался отдельно и стоимость оборудования для мелиоративных систем и (или) гидротехнических сооружений не включена в цену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7) для получения субсидии в целях возмещения части затрат, связанных с проведением культуртехнических мероприятий, заявитель дополнительно представляет следующие документы:</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копию проекта выполнения культуртехнических работ, содержащего виды и объем указанных работ, заверенную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копию сметы затрат на выполнение культуртехнических работ и копию графика выполнения указанных работ,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копию договора подряда на выполнение культуртехнических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д) реестр документов, подтверждающих состав и размер произведенных заявителем затрат, связанных с проведением культуртехнических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16.09.2019 , от 23.12.2019 )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е) справку, подтверждающую возможность вовлечения земельного участка в сельскохозяйственный оборот в результате проведения культуртехнических мероприятий, выданную уполномоченным органом в области почвенного обследования, имеющим действующий (непросроченный)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8) для получения субсидии в целях возмещения части затрат, связанных с проведением агролесомелиоративных и (или) фитомелиоративных мероприятий, заявитель дополнительно представляет следующие документы:</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выписку из Единого государственного реестра недвижимости, подтверждающую соответствующее право заявителя на земельный участок сельскохозяйственного назначения, предусмотренное  и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копию проекта выполнения агролесомелиоративных и (или) фитомелиоративных работ, содержащего виды и объем указанных работ, заверенную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копию сметы затрат на выполнение агролесомелиоративных и (или) фитомелиоративных работ, заверенную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копии договоров купли-продажи (поставки) посадочного и (или) семенного материала, копии счетов-фактур (если продавец является налогоплательщиком налога на добавленную стоимость) или копии товарных накладных, подтверждающих их приобретение и поставку, копии платежных поручений, подтверждающих оплату приобретенного посадочного и (или) семенного материала, в том числе их предварительную оплату,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д) копии сертификатов, удостоверяющих качество семенного материала и подтверждающих его соответствие требованиям государственных и отраслевых стандартов, заверенные заявителем (представляются в случае проведения фитомелиоративных мероприятий);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е) копию договора подряда на выполнение агролесомелиоративных и (или) фитомелиоративных работ, копию акта о приемке выполненных работ, составленного по форме, утвержденной правовым актом Министерства, копии платежных поручений, подтверждающих оплату выполненных подрядчиком работ, в том числе их предварительную оплату, заверенные заявителем (представляются при выполнении работ на основании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ж) реестр документов, подтверждающих состав и размер произведенных заявителем затрат, связанных с проведением агролесомелиоративных и (или) фитомелиоративных мероприятий, составленный по форме, утвержденной правовым актом Министерства, с приложением указанных в реестре копий документов (представляется при выполнении работ заявителем самостоятельно);</w:t>
      </w:r>
    </w:p>
    <w:p>
      <w:pPr>
        <w:pStyle w:val="Normal"/>
        <w:bidi w:val="0"/>
        <w:spacing w:lineRule="auto" w:line="240"/>
        <w:jc w:val="left"/>
        <w:rPr>
          <w:color w:val="auto"/>
        </w:rPr>
      </w:pPr>
      <w:r>
        <w:rPr>
          <w:rFonts w:ascii="Calibri" w:hAnsi="Calibri"/>
          <w:b w:val="false"/>
          <w:color w:val="auto"/>
          <w:sz w:val="22"/>
          <w:szCs w:val="22"/>
          <w:lang w:val="ru-RU"/>
        </w:rPr>
        <w:t>(в ред. постановлений Правительства Ульяновской области от 16.09.2019 , от 23.12.2019 )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9) для получения субсидии в целях возмещения части затрат, связанных с проведением мероприятий в области известкования кислых почв, заявитель дополнительно представляет следующие документы (копии документов):</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реестр земельных участков из земель сельскохозяйственного назначения, расположенных на территории Ульяновской области, в границах которых выполнены технологические работы по внесению в почву известковых мелиорантов, составленный по форме, утвержденной правовым актом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копии правоустанавливающих документов на земельные участки, указанные в  настоящего подпункта, заверенные заявителем. В случае аренды таких земельных участков и (или) их безвозмездного использования договоры аренды и (или) договоры безвозмездного пользования должны быть заключены на срок не менее 1 года и зарегистрированы в Управлении Федеральной службы государственной регистрации, кадастра и картографии по Ульяновской области, что должно быть подтверждено отметкой о государственной регистрации;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копию документа, подтверждающего проведение не реже одного раза в 5 лет почвенного обследования земель сельскохозяйственного назначения, выданного уполномоченным органом в области почвенного обследования, заверенную заявителем;</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копию проектной документации на выполнение технологических работ по внесению в почву известковых мелиорантов, разработанной уполномоченным органом в области почвенного обследования по результатам почвенного обследования, проведенного не более 5 лет назад, заверенную заявителем. К копии указанной проектной документации должны прилагаться заверенные заявителем копия договора на выполнение проектных работ, копия акта приемки выполненных работ, копии платежных поручений, подтверждающих оплату заявителем выполненных работ, в том числе их предварительную оплату;</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д) копии договоров купли-продажи (поставки) известковых мелиорантов, копию договора о доставке известковых мелиорантов (представляется в случае заключения такого договора), копии счетов-фактур (если продавец является налогоплательщиком налога на добавленную стоимость) или копии товарных накладных (товарно-транспортных накладных), подтверждающих приобретение известковых мелиорантов и их поставку (доставку), копии платежных поручений, подтверждающих оплату, в том числе предварительную оплату, стоимости приобретенных известковых мелиорантов и транспортных расходов по их доставке (в случае осуществления указанных транспортных расходов),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е) копии деклараций о соответствии и (или) копии сертификатов соответствия, удостоверяющих качество приобретенных известковых мелиорантов и подтверждающих их соответствие требованиям технических регламентов, заверенные заявителем;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ж) копию договора подряда на выполнение технологических работ по внесению в почву известковых мелиорантов, копию акта о приемке выполненных работ, копии платежных поручений, подтверждающих перечисление средств подрядчику за выполненные работы, в том числе их предварительную оплату, заверенные заявителем (представляются в случае выполнения работ на основании договора подряда);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з) реестр документов, подтверждающих состав и размер произведенных заявителем затрат, связанных с выполнением технологических работ по внесению в почву известковых мелиорантов, составленный по форме, утвержденной правовым актом Министерства, и содержащий сведения о затратах, предусмотренных проектной документацией на выполнение указанных работ. К реестру документов должны прилагаться копии документов, сведения о которых содержатся в указанном реестре (представляется в случае выполнения заявителем технологических работ по внесению в почву известковых мелиорантов самостоятельно);</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и) акт о внесении в почву известковых мелиорантов на земельных участках сельскохозяйственного назначения, расположенных на территории Ульяновской области, составленный по форме, утвержденной правовым актом Министерства, и согласованный с уполномоченным органом в области почвенного обследования.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jc w:val="left"/>
        <w:rPr>
          <w:color w:val="auto"/>
        </w:rPr>
      </w:pPr>
      <w:r>
        <w:rPr>
          <w:rFonts w:ascii="Calibri" w:hAnsi="Calibri"/>
          <w:b w:val="false"/>
          <w:color w:val="auto"/>
          <w:sz w:val="22"/>
          <w:szCs w:val="22"/>
          <w:lang w:val="ru-RU"/>
        </w:rPr>
        <w:t>(пп. 9 введен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8. Министерство принимает документы (копии документов), указанные в  настоящих Правил (далее - документы), до 10 декабря текущего года включительно.</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10. Министерство в течение 15 рабочих дней со дня регистрации заявления: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проводит проверку соответствия заявителя условиям, установленным  и  настоящих Правил, и требованиям, установленным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принимает решение о предоставлении заявителю субсидии либо об отказе в предоставлении субсидии, которое оформляется правовым актом Министерства;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в журнале регистрации делает запись о предоставлении субсидии либо об отказе в предоставлении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При этом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 соглашение о предоставлении субсидии заключается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в соответствии с типовой формой, установленной Министерством финансов Российской Федерации для соответствующего вида субсидий. Соглашение о предоставлении субсидии должно содержать в том числе: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а) сведения об объеме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б) согласие заявителя, в отношении которого Министерством принято решение о предоставлении субсидии (далее - получатель субсидии), 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использование заявителем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г) представление заявителем в Министерство каждые три месяца до 10 числа месяца, следующего за отчетным периодом, в течение одного года со дня перечисления субсидии копии инвентарной карточки основных средств либо копии иного первичного учетного документа или выписки из него, применяемого заявителем для ведения бухгалтерского учета, подтверждающего наличие (отсутствие) построенных и (или) реконструированных мелиоративных систем и (или) гидротехнических сооружений и (или) приобретенных машин и (или) оборудования в связи с проведением гидромелиоративных мероприятий, затраты в связи с проведением которых возмещены за счет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д) представление заявителем отчета о достижении объема экспорта продукции агропромышленного комплекса (в натуральном выражении) за счет создания новой товарной массы по результатам года, следующего за годом предоставления субсидии, по форме и в срок, которые предусмотрены соглашением о предоставлении субсидии (в случае предоставления субсидии в целях возмещения части затрат, связанных с проведением гидромелиоративных мероприятий в целях реализации регионального проекта "Экспорт продукции агропромышленного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е) значение результата предоставления субсидии.</w:t>
      </w:r>
    </w:p>
    <w:p>
      <w:pPr>
        <w:pStyle w:val="Normal"/>
        <w:bidi w:val="0"/>
        <w:spacing w:lineRule="auto" w:line="240"/>
        <w:jc w:val="left"/>
        <w:rPr>
          <w:color w:val="auto"/>
        </w:rPr>
      </w:pPr>
      <w:r>
        <w:rPr>
          <w:rFonts w:ascii="Calibri" w:hAnsi="Calibri"/>
          <w:b w:val="false"/>
          <w:color w:val="auto"/>
          <w:sz w:val="22"/>
          <w:szCs w:val="22"/>
          <w:lang w:val="ru-RU"/>
        </w:rPr>
        <w:t>(пп. 5 в ред.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уменьшения Министерству ранее доведенных до него лимитов бюджетных обязательств на предоставление субсидий, приводящего к невозможности предоставления субсидии получателю субсидии в объеме,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w:t>
      </w:r>
    </w:p>
    <w:p>
      <w:pPr>
        <w:pStyle w:val="Normal"/>
        <w:bidi w:val="0"/>
        <w:spacing w:lineRule="auto" w:line="240"/>
        <w:jc w:val="left"/>
        <w:rPr>
          <w:color w:val="auto"/>
        </w:rPr>
      </w:pPr>
      <w:r>
        <w:rPr>
          <w:rFonts w:ascii="Calibri" w:hAnsi="Calibri"/>
          <w:b w:val="false"/>
          <w:color w:val="auto"/>
          <w:sz w:val="22"/>
          <w:szCs w:val="22"/>
          <w:lang w:val="ru-RU"/>
        </w:rPr>
        <w:t>(абзац введен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11. Основаниями для принятия Министерством решения об отказе в предоставлении субсидии являются:</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несоответствие заявителя условиям, установленным  и  настоящих Правил, и требованиям, установленным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представление заявителем документов не в полном объеме и (или) с нарушением предъявляемых к ним требований и (или) наличие в таких документах неполных и (или) недостоверных сведений;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представление заявителем документов по истечении срока, указанного в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отсутствие или недостаточность лимитов бюджетных обязательств, утвержденных Министерству на предоставление субсидий.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12. В случае если лимиты бюджетных обязательств на предоставление субсидий не позволяют предоставить субсидии всем заявителям, в отношении которых Министерством могло бы быть принято решение о предоставлении субсидий, Министерство принимает решение о предоставлении субсидий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14. Заявитель после устранения обстоятельств, послуживших основанием для принятия в отношении его решения об отказе в предоставлении субсидии, за исключением обстоятельств, предусмотренных  и  настоящих Правил, вправе повторно обратиться в Министерство с заявлением.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15. Заявитель, в отношении которого принято решение об отказе в предоставлении субсидии по основанию, предусмотренному  настоящих Правил, имеет право повторно обратиться в Министерство с заявлением в следующем порядке: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до 25 декабря текущего финансового года - в случае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настоящих Правил.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16.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16.1. Результатами предоставления субсидий являются:</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 размер площади мелиорируемых земель, введенных в эксплуатацию за счет реконструкции, технического перевооружения или строительства новых мелиоративных систем общего и индивидуального пользования (в гектарах), в случае предоставления субсидий в целях возмещения части затрат, указанных в  настоящих Правил, если получатель субсидии проводит гидромелиоративные мероприятия в целях, не связанных с реализацией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pPr>
        <w:pStyle w:val="Normal"/>
        <w:bidi w:val="0"/>
        <w:spacing w:lineRule="auto" w:line="240"/>
        <w:jc w:val="left"/>
        <w:rPr>
          <w:color w:val="auto"/>
        </w:rPr>
      </w:pPr>
      <w:r>
        <w:rPr>
          <w:rFonts w:ascii="Calibri" w:hAnsi="Calibri"/>
          <w:b w:val="false"/>
          <w:color w:val="auto"/>
          <w:sz w:val="22"/>
          <w:szCs w:val="22"/>
          <w:lang w:val="ru-RU"/>
        </w:rPr>
        <w:t>(пп. 1 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1.1) размер площади мелиорированных земель, введенных в эксплуатацию за счет реконструкции, технического перевооружения или строительства новых мелиоративных систем общего или индивидуального пользования в целях выращивания экспортно ориентированной сельскохозяйственной продукции (в гектарах), - в случае предоставления субсидий в целях возмещения части затрат, указанных в  настоящих Правил, если получатель субсидии проводит гидромелиоративные мероприятия в целях реализации регионального проекта "Экспорт продукции агропромышленного комплекса в Ульяновской области", направленного на достижение целей, показателей и результатов реализации федерального проекта "Экспорт продукции агропромышленного комплекса";</w:t>
      </w:r>
    </w:p>
    <w:p>
      <w:pPr>
        <w:pStyle w:val="Normal"/>
        <w:bidi w:val="0"/>
        <w:spacing w:lineRule="auto" w:line="240"/>
        <w:jc w:val="left"/>
        <w:rPr>
          <w:color w:val="auto"/>
        </w:rPr>
      </w:pPr>
      <w:r>
        <w:rPr>
          <w:rFonts w:ascii="Calibri" w:hAnsi="Calibri"/>
          <w:b w:val="false"/>
          <w:color w:val="auto"/>
          <w:sz w:val="22"/>
          <w:szCs w:val="22"/>
          <w:lang w:val="ru-RU"/>
        </w:rPr>
        <w:t>(пп. 1 введен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 размер площади мелиорированных земель (путем культуртехнической мелиорации) (в гектарах) - в случае предоставления субсидий в целях возмещения части затрат, указанных в  настоящих Правил;</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3) размер площади посадок лесных насаждений и (или) фитомелиорантов в результате проведения агролесомелиоративных и (или) фитомелиоративных мероприятий (в гектарах) - в случае предоставления субсидий в целях возмещения части затрат, указанных в  и  настоящих Правил соответственно;</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4) размер площади пашни, на которой выполнены технологические работы по внесению в почву известковых мелиорантов (в гектарах), - в случае предоставления субсидий в целях возмещения части затрат, указанных в  настоящих Правил.</w:t>
      </w:r>
    </w:p>
    <w:p>
      <w:pPr>
        <w:pStyle w:val="Normal"/>
        <w:bidi w:val="0"/>
        <w:spacing w:lineRule="auto" w:line="240"/>
        <w:jc w:val="left"/>
        <w:rPr>
          <w:color w:val="auto"/>
        </w:rPr>
      </w:pPr>
      <w:r>
        <w:rPr>
          <w:rFonts w:ascii="Calibri" w:hAnsi="Calibri"/>
          <w:b w:val="false"/>
          <w:color w:val="auto"/>
          <w:sz w:val="22"/>
          <w:szCs w:val="22"/>
          <w:lang w:val="ru-RU"/>
        </w:rPr>
        <w:t>(п. 16.1 введен  Правительства Ульяновской области от 23.12.2019 N 743-П)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16.2.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определенной типовой формой соглашения о предоставлении субсидии из областного бюджета Ульяновской области соответствующего вида, установленной Министерством финансов Ульяновской области, либо составленный по форме, определенной типовой формой соглашения о предоставлении субсидии соответствующего вида, установленной Министерством финансов Российской Федерации, в случае если 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w:t>
      </w:r>
    </w:p>
    <w:p>
      <w:pPr>
        <w:pStyle w:val="Normal"/>
        <w:bidi w:val="0"/>
        <w:spacing w:lineRule="auto" w:line="240"/>
        <w:jc w:val="left"/>
        <w:rPr>
          <w:color w:val="auto"/>
        </w:rPr>
      </w:pPr>
      <w:r>
        <w:rPr>
          <w:rFonts w:ascii="Calibri" w:hAnsi="Calibri"/>
          <w:b w:val="false"/>
          <w:color w:val="auto"/>
          <w:sz w:val="22"/>
          <w:szCs w:val="22"/>
          <w:lang w:val="ru-RU"/>
        </w:rPr>
        <w:t>(п. 16.2 введен  Правительства Ульяновской области от 23.12.2019 N 743-П; в ред. постановлений Правительства Ульяновской области от 03.12.2020 , от 19.04.2021 )</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17. Министерство обеспечивает соблюдение получателями субсидий условий и порядка, установленных при предоставлении субсидий.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18.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19. В случае нарушения получателем субсидии условий, установленных при предоставлении субсидии, за исключением случая, предусмотренного  настоящего пункта, а равно невыполнения получателем субсидии условия соглашения о предоставлении субсидии, предусмотренного  настоящих Правил (в случае предоставления субсидии в целях возмещения части затрат, связанных с проведением гидромелиоративных мероприятий), выявленных в том числе по результатам проверок, проведенных Министерством или 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недостижения получателем субсидии по результатам года, следующего за годом предоставления субсидии, объема экспорта продукции агропромышленного комплекса (в натуральном выражении) за счет создания новой товарной массы, предусмотренного обязательством, указанным в  настоящих Правил, субсидия подлежит возврату в размере, пропорциональном величине недостигнутого объема экспорта такой продукции.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непредставления или несвоевременного представления получателем субсидии копии инвентарной карточки основных средств либо копии иного первичного учетного документа или выписки из него, применяемого получателем субсидии для ведения бухгалтерского учета, указанных в  настоящих Правил, и (или) отчета о достижении объема экспорта продукции агропромышленного комплекса (в натуральном выражении) за счет создания новой товарной массы, указанного в  настоящих Правил, и (или) отчета о достижении результата предоставления субсидии субсидия подлежит возврату в областной бюджет Ульяновской области в полном объеме.</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19.04.2021 N 152-П)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 случае недостижения получателем субсидии результата предоставления субсидии субсидия подлежит возврату в размере, пропорциональном величине недостигнутого результата.</w:t>
      </w:r>
    </w:p>
    <w:p>
      <w:pPr>
        <w:pStyle w:val="Normal"/>
        <w:bidi w:val="0"/>
        <w:spacing w:lineRule="auto" w:line="240"/>
        <w:jc w:val="left"/>
        <w:rPr>
          <w:color w:val="auto"/>
        </w:rPr>
      </w:pPr>
      <w:r>
        <w:rPr>
          <w:rFonts w:ascii="Calibri" w:hAnsi="Calibri"/>
          <w:b w:val="false"/>
          <w:color w:val="auto"/>
          <w:sz w:val="22"/>
          <w:szCs w:val="22"/>
          <w:lang w:val="ru-RU"/>
        </w:rPr>
        <w:t>(п. 19 в ред.  Правительства Ульяновской области от 03.12.2020 N 701-П)</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указанных в  настоящих Правил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21. Возврат субсидии осуществляется получателем субсидии в следующем порядке:</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в требовании о возврате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22.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w:t>
      </w:r>
    </w:p>
    <w:p>
      <w:pPr>
        <w:pStyle w:val="Normal"/>
        <w:bidi w:val="0"/>
        <w:spacing w:lineRule="auto" w:line="240" w:before="160" w:after="0"/>
        <w:ind w:left="-540" w:firstLine="540"/>
        <w:jc w:val="left"/>
        <w:rPr>
          <w:color w:val="auto"/>
        </w:rPr>
      </w:pPr>
      <w:r>
        <w:rPr>
          <w:rFonts w:ascii="Calibri" w:hAnsi="Calibri"/>
          <w:b w:val="false"/>
          <w:color w:val="auto"/>
          <w:sz w:val="22"/>
          <w:szCs w:val="22"/>
          <w:lang w:val="ru-RU"/>
        </w:rPr>
        <w:t>23.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 их регистрации в журнале регистрации.</w:t>
      </w:r>
    </w:p>
    <w:p>
      <w:pPr>
        <w:pStyle w:val="Normal"/>
        <w:bidi w:val="0"/>
        <w:spacing w:lineRule="auto" w:line="240"/>
        <w:jc w:val="left"/>
        <w:rPr>
          <w:color w:val="auto"/>
        </w:rPr>
      </w:pPr>
      <w:r>
        <w:rPr>
          <w:rFonts w:ascii="Calibri" w:hAnsi="Calibri"/>
          <w:b w:val="false"/>
          <w:color w:val="auto"/>
          <w:sz w:val="22"/>
          <w:szCs w:val="22"/>
          <w:lang w:val="ru-RU"/>
        </w:rPr>
        <w:t>(в ред.  Правительства Ульяновской области от 03.12.2020 N 701-П)</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right"/>
        <w:rPr>
          <w:color w:val="auto"/>
        </w:rPr>
      </w:pPr>
      <w:r>
        <w:rPr>
          <w:rFonts w:ascii="Calibri" w:hAnsi="Calibri"/>
          <w:b w:val="false"/>
          <w:color w:val="auto"/>
          <w:sz w:val="22"/>
          <w:szCs w:val="22"/>
          <w:lang w:val="ru-RU"/>
        </w:rPr>
        <w:t>Приложение</w:t>
      </w:r>
    </w:p>
    <w:p>
      <w:pPr>
        <w:pStyle w:val="Normal"/>
        <w:bidi w:val="0"/>
        <w:spacing w:lineRule="auto" w:line="240"/>
        <w:jc w:val="right"/>
        <w:rPr>
          <w:color w:val="auto"/>
        </w:rPr>
      </w:pPr>
      <w:r>
        <w:rPr>
          <w:rFonts w:ascii="Calibri" w:hAnsi="Calibri"/>
          <w:b w:val="false"/>
          <w:color w:val="auto"/>
          <w:sz w:val="22"/>
          <w:szCs w:val="22"/>
          <w:lang w:val="ru-RU"/>
        </w:rPr>
        <w:t>к Правилам</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center"/>
        <w:rPr>
          <w:color w:val="auto"/>
        </w:rPr>
      </w:pPr>
      <w:r>
        <w:rPr>
          <w:rFonts w:ascii="Calibri" w:hAnsi="Calibri"/>
          <w:b w:val="false"/>
          <w:color w:val="auto"/>
          <w:sz w:val="22"/>
          <w:szCs w:val="22"/>
          <w:lang w:val="ru-RU"/>
        </w:rPr>
        <w:t>ОТЧЕТ</w:t>
      </w:r>
    </w:p>
    <w:p>
      <w:pPr>
        <w:pStyle w:val="Normal"/>
        <w:bidi w:val="0"/>
        <w:spacing w:lineRule="auto" w:line="240"/>
        <w:jc w:val="center"/>
        <w:rPr>
          <w:color w:val="auto"/>
        </w:rPr>
      </w:pPr>
      <w:r>
        <w:rPr>
          <w:rFonts w:ascii="Calibri" w:hAnsi="Calibri"/>
          <w:b w:val="false"/>
          <w:color w:val="auto"/>
          <w:sz w:val="22"/>
          <w:szCs w:val="22"/>
          <w:lang w:val="ru-RU"/>
        </w:rPr>
        <w:t>о достижении значения показателя, необходимого</w:t>
      </w:r>
    </w:p>
    <w:p>
      <w:pPr>
        <w:pStyle w:val="Normal"/>
        <w:bidi w:val="0"/>
        <w:spacing w:lineRule="auto" w:line="240"/>
        <w:jc w:val="center"/>
        <w:rPr>
          <w:color w:val="auto"/>
        </w:rPr>
      </w:pPr>
      <w:r>
        <w:rPr>
          <w:rFonts w:ascii="Calibri" w:hAnsi="Calibri"/>
          <w:b w:val="false"/>
          <w:color w:val="auto"/>
          <w:sz w:val="22"/>
          <w:szCs w:val="22"/>
          <w:lang w:val="ru-RU"/>
        </w:rPr>
        <w:t>для достижения результата предоставления субсидии,</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ind w:left="-540" w:firstLine="540"/>
        <w:jc w:val="left"/>
        <w:rPr>
          <w:color w:val="auto"/>
        </w:rPr>
      </w:pPr>
      <w:r>
        <w:rPr>
          <w:rFonts w:ascii="Calibri" w:hAnsi="Calibri"/>
          <w:b w:val="false"/>
          <w:color w:val="auto"/>
          <w:sz w:val="22"/>
          <w:szCs w:val="22"/>
          <w:lang w:val="ru-RU"/>
        </w:rPr>
        <w:t>Утратил силу. -  Правительства Ульяновской области от 03.12.2020 N 701-П.</w:t>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jc w:val="left"/>
        <w:rPr>
          <w:rFonts w:ascii="Calibri" w:hAnsi="Calibri"/>
          <w:b w:val="false"/>
          <w:b w:val="false"/>
          <w:color w:val="auto"/>
          <w:sz w:val="22"/>
          <w:szCs w:val="22"/>
          <w:lang w:val="ru-RU"/>
        </w:rPr>
      </w:pPr>
      <w:r>
        <w:rPr>
          <w:rFonts w:ascii="Calibri" w:hAnsi="Calibri"/>
          <w:b w:val="false"/>
          <w:color w:val="auto"/>
          <w:sz w:val="22"/>
          <w:szCs w:val="22"/>
          <w:lang w:val="ru-RU"/>
        </w:rPr>
      </w:r>
    </w:p>
    <w:p>
      <w:pPr>
        <w:pStyle w:val="Normal"/>
        <w:bidi w:val="0"/>
        <w:spacing w:lineRule="auto" w:line="240" w:before="100" w:after="100"/>
        <w:jc w:val="left"/>
        <w:rPr>
          <w:color w:val="auto"/>
        </w:rPr>
      </w:pPr>
      <w:r>
        <w:rPr>
          <w:color w:val="auto"/>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Sans">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9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Noto Sans Devanagari"/>
        <w:kern w:val="2"/>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PT Sans" w:hAnsi="PT Sans" w:eastAsia="Tahoma" w:cs="Noto Sans Devanagari"/>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Sans" w:hAnsi="PT Sans"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ans" w:hAnsi="PT Sans" w:cs="Noto Sans Devanagari"/>
    </w:rPr>
  </w:style>
  <w:style w:type="paragraph" w:styleId="Style17">
    <w:name w:val="Caption"/>
    <w:basedOn w:val="Normal"/>
    <w:qFormat/>
    <w:pPr>
      <w:suppressLineNumbers/>
      <w:spacing w:before="120" w:after="120"/>
    </w:pPr>
    <w:rPr>
      <w:rFonts w:ascii="PT Sans" w:hAnsi="PT Sans" w:cs="Noto Sans Devanagari"/>
      <w:i/>
      <w:iCs/>
      <w:sz w:val="24"/>
      <w:szCs w:val="24"/>
    </w:rPr>
  </w:style>
  <w:style w:type="paragraph" w:styleId="Style18">
    <w:name w:val="Указатель"/>
    <w:basedOn w:val="Normal"/>
    <w:qFormat/>
    <w:pPr>
      <w:suppressLineNumbers/>
    </w:pPr>
    <w:rPr>
      <w:rFonts w:ascii="PT Sans" w:hAnsi="PT San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LibreOffice/6.4.4.2$Linux_X86_64 LibreOffice_project/40$Build-2</Application>
  <Pages>19</Pages>
  <Words>6528</Words>
  <Characters>50484</Characters>
  <CharactersWithSpaces>56855</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2021-04-30T10:50:12Z</dcterms:modified>
  <cp:revision>2</cp:revision>
  <dc:subject/>
  <dc:title/>
</cp:coreProperties>
</file>